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094"/>
        <w:gridCol w:w="2628"/>
        <w:gridCol w:w="2161"/>
      </w:tblGrid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A1640E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  <w:r w:rsidRPr="00A55E89">
              <w:rPr>
                <w:rFonts w:ascii="Times New Roman" w:hAnsi="Times New Roman" w:cs="Times New Roman"/>
                <w:color w:val="FF0000"/>
              </w:rPr>
              <w:t>Broadwater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Durrington (red) 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3.TAB (blue) </w:t>
            </w:r>
          </w:p>
          <w:p w:rsidR="00A55E89" w:rsidRPr="00A55E89" w:rsidRDefault="00A55E89" w:rsidP="00A55E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4.</w:t>
            </w:r>
            <w:r w:rsidRPr="00A55E89">
              <w:rPr>
                <w:rFonts w:ascii="Times New Roman" w:hAnsi="Times New Roman" w:cs="Times New Roman"/>
                <w:color w:val="FF0000"/>
              </w:rPr>
              <w:t>Heene</w:t>
            </w:r>
          </w:p>
        </w:tc>
        <w:tc>
          <w:tcPr>
            <w:tcW w:w="209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:rsidR="008F240E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1.Chesswood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2.Elm Grove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Orchards(white)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4.West Park </w:t>
            </w:r>
          </w:p>
          <w:p w:rsidR="00A55E89" w:rsidRPr="00911312" w:rsidRDefault="00A55E89" w:rsidP="00A55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A1640E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English Martyrs</w:t>
            </w:r>
          </w:p>
          <w:p w:rsidR="00A55E89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Goring</w:t>
            </w:r>
          </w:p>
          <w:p w:rsidR="00A55E89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TAB (red) </w:t>
            </w:r>
          </w:p>
          <w:p w:rsidR="00A55E89" w:rsidRPr="00A1640E" w:rsidRDefault="00A55E89" w:rsidP="00A55E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Durrington (blue)</w:t>
            </w:r>
          </w:p>
          <w:p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Hawthorns</w:t>
            </w:r>
          </w:p>
          <w:p w:rsid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Orchards (blue)</w:t>
            </w:r>
          </w:p>
          <w:p w:rsidR="00A55E89" w:rsidRPr="00A55E89" w:rsidRDefault="00A55E89" w:rsidP="00A55E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Downsbrook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A55E89" w:rsidRDefault="00A55E89" w:rsidP="00A55E89">
            <w:pPr>
              <w:rPr>
                <w:rFonts w:ascii="Times New Roman" w:hAnsi="Times New Roman" w:cs="Times New Roman"/>
                <w:color w:val="00B0F0"/>
              </w:rPr>
            </w:pPr>
          </w:p>
          <w:p w:rsidR="00980B6F" w:rsidRPr="00453FCA" w:rsidRDefault="006A41EB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:rsidTr="0024782F">
        <w:trPr>
          <w:trHeight w:val="687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09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2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161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161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738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09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628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161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 w:rsidRPr="00FF5F8F"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 w:rsidRPr="00FF5F8F">
              <w:rPr>
                <w:rFonts w:ascii="Times New Roman" w:hAnsi="Times New Roman" w:cs="Times New Roman"/>
              </w:rPr>
              <w:t xml:space="preserve"> finals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628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finals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161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Plate </w:t>
            </w:r>
          </w:p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A1640E" w:rsidRPr="00911312" w:rsidTr="0024782F">
        <w:trPr>
          <w:trHeight w:val="728"/>
        </w:trPr>
        <w:tc>
          <w:tcPr>
            <w:tcW w:w="1119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738" w:type="dxa"/>
          </w:tcPr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094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628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>Year 4</w:t>
      </w:r>
      <w:r w:rsidR="00A1640E">
        <w:rPr>
          <w:sz w:val="32"/>
          <w:szCs w:val="32"/>
        </w:rPr>
        <w:t xml:space="preserve"> Football Tournament</w:t>
      </w:r>
      <w:r w:rsidRPr="00FF5F8F">
        <w:rPr>
          <w:sz w:val="32"/>
          <w:szCs w:val="32"/>
        </w:rPr>
        <w:t xml:space="preserve"> </w:t>
      </w:r>
    </w:p>
    <w:p w:rsidR="00FF5F8F" w:rsidRDefault="0024782F">
      <w:pPr>
        <w:rPr>
          <w:sz w:val="28"/>
          <w:szCs w:val="28"/>
        </w:rPr>
      </w:pPr>
      <w:r>
        <w:rPr>
          <w:sz w:val="28"/>
          <w:szCs w:val="28"/>
        </w:rPr>
        <w:t>Tuesday 1</w:t>
      </w:r>
      <w:r w:rsidR="00A55E89">
        <w:rPr>
          <w:sz w:val="28"/>
          <w:szCs w:val="28"/>
        </w:rPr>
        <w:t>3</w:t>
      </w:r>
      <w:r w:rsidRPr="002478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</w:t>
      </w:r>
      <w:r w:rsidR="00A55E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:rsidR="006C6C59" w:rsidRPr="006C6C59" w:rsidRDefault="006C6C59">
      <w:pPr>
        <w:rPr>
          <w:sz w:val="28"/>
          <w:szCs w:val="28"/>
        </w:rPr>
      </w:pPr>
    </w:p>
    <w:p w:rsidR="00FF5F8F" w:rsidRDefault="00FF5F8F"/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 and 3</w:t>
      </w:r>
      <w:r w:rsidR="006C6C59" w:rsidRPr="00D93DED">
        <w:rPr>
          <w:sz w:val="28"/>
          <w:szCs w:val="28"/>
          <w:vertAlign w:val="superscript"/>
        </w:rPr>
        <w:t>rd</w:t>
      </w:r>
      <w:r w:rsidR="006C6C59" w:rsidRPr="00D93DED">
        <w:rPr>
          <w:sz w:val="28"/>
          <w:szCs w:val="28"/>
        </w:rPr>
        <w:t xml:space="preserve"> and 4</w:t>
      </w:r>
      <w:r w:rsidR="006C6C59" w:rsidRPr="00D93DED">
        <w:rPr>
          <w:sz w:val="28"/>
          <w:szCs w:val="28"/>
          <w:vertAlign w:val="superscript"/>
        </w:rPr>
        <w:t>th</w:t>
      </w:r>
      <w:r w:rsidR="006C6C59" w:rsidRPr="00D93DED">
        <w:rPr>
          <w:sz w:val="28"/>
          <w:szCs w:val="28"/>
        </w:rPr>
        <w:t xml:space="preserve"> places to the Plate finals. This format allows further competition for all pupils following the pool stages.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play)</w:t>
      </w:r>
    </w:p>
    <w:p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 5. 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3CC"/>
    <w:multiLevelType w:val="hybridMultilevel"/>
    <w:tmpl w:val="E7E84BB8"/>
    <w:lvl w:ilvl="0" w:tplc="F1AA8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4E32C4"/>
    <w:multiLevelType w:val="hybridMultilevel"/>
    <w:tmpl w:val="B520F960"/>
    <w:lvl w:ilvl="0" w:tplc="3C42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26C98"/>
    <w:multiLevelType w:val="hybridMultilevel"/>
    <w:tmpl w:val="C9FA06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63F"/>
    <w:multiLevelType w:val="hybridMultilevel"/>
    <w:tmpl w:val="7BA2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1311F6"/>
    <w:rsid w:val="0024782F"/>
    <w:rsid w:val="002D45CF"/>
    <w:rsid w:val="003F4B23"/>
    <w:rsid w:val="004054BC"/>
    <w:rsid w:val="00453FCA"/>
    <w:rsid w:val="004E7623"/>
    <w:rsid w:val="00520666"/>
    <w:rsid w:val="00590057"/>
    <w:rsid w:val="006A41EB"/>
    <w:rsid w:val="006C6C59"/>
    <w:rsid w:val="008F240E"/>
    <w:rsid w:val="00980B6F"/>
    <w:rsid w:val="00A1640E"/>
    <w:rsid w:val="00A55E89"/>
    <w:rsid w:val="00D93DED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A173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2018-02-28T15:44:00Z</dcterms:created>
  <dcterms:modified xsi:type="dcterms:W3CDTF">2018-02-28T15:44:00Z</dcterms:modified>
</cp:coreProperties>
</file>